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80"/>
        </w:tabs>
        <w:spacing w:line="300" w:lineRule="auto"/>
        <w:rPr>
          <w:rFonts w:ascii="宋体" w:hAnsi="宋体"/>
          <w:b/>
          <w:sz w:val="24"/>
        </w:rPr>
      </w:pPr>
    </w:p>
    <w:tbl>
      <w:tblPr>
        <w:tblStyle w:val="4"/>
        <w:tblpPr w:leftFromText="180" w:rightFromText="180" w:vertAnchor="text" w:horzAnchor="page" w:tblpX="956" w:tblpY="87"/>
        <w:tblOverlap w:val="never"/>
        <w:tblW w:w="9816" w:type="dxa"/>
        <w:tblInd w:w="0" w:type="dxa"/>
        <w:tblLayout w:type="fixed"/>
        <w:tblCellMar>
          <w:top w:w="0" w:type="dxa"/>
          <w:left w:w="108" w:type="dxa"/>
          <w:bottom w:w="0" w:type="dxa"/>
          <w:right w:w="108" w:type="dxa"/>
        </w:tblCellMar>
      </w:tblPr>
      <w:tblGrid>
        <w:gridCol w:w="1461"/>
        <w:gridCol w:w="1930"/>
        <w:gridCol w:w="1463"/>
        <w:gridCol w:w="3190"/>
        <w:gridCol w:w="1772"/>
      </w:tblGrid>
      <w:tr>
        <w:tblPrEx>
          <w:tblCellMar>
            <w:top w:w="0" w:type="dxa"/>
            <w:left w:w="108" w:type="dxa"/>
            <w:bottom w:w="0" w:type="dxa"/>
            <w:right w:w="108" w:type="dxa"/>
          </w:tblCellMar>
        </w:tblPrEx>
        <w:trPr>
          <w:trHeight w:val="567" w:hRule="atLeast"/>
        </w:trPr>
        <w:tc>
          <w:tcPr>
            <w:tcW w:w="9816" w:type="dxa"/>
            <w:gridSpan w:val="5"/>
            <w:tcBorders>
              <w:tl2br w:val="nil"/>
              <w:tr2bl w:val="nil"/>
            </w:tcBorders>
            <w:shd w:val="clear" w:color="auto" w:fill="BDD6EE" w:themeFill="accent1" w:themeFillTint="66"/>
            <w:vAlign w:val="center"/>
          </w:tcPr>
          <w:p>
            <w:pPr>
              <w:tabs>
                <w:tab w:val="center" w:pos="1380"/>
              </w:tabs>
              <w:spacing w:line="300" w:lineRule="auto"/>
              <w:jc w:val="left"/>
              <w:rPr>
                <w:color w:val="000000"/>
                <w:szCs w:val="21"/>
              </w:rPr>
            </w:pPr>
            <w:r>
              <w:rPr>
                <w:rFonts w:hint="eastAsia"/>
                <w:color w:val="000000"/>
                <w:szCs w:val="21"/>
                <w:lang w:val="zh-CN"/>
              </w:rPr>
              <w:drawing>
                <wp:anchor distT="0" distB="0" distL="114300" distR="114300" simplePos="0" relativeHeight="251659264" behindDoc="0" locked="0" layoutInCell="1" allowOverlap="1">
                  <wp:simplePos x="0" y="0"/>
                  <wp:positionH relativeFrom="column">
                    <wp:posOffset>5110480</wp:posOffset>
                  </wp:positionH>
                  <wp:positionV relativeFrom="paragraph">
                    <wp:posOffset>321310</wp:posOffset>
                  </wp:positionV>
                  <wp:extent cx="988060" cy="1307465"/>
                  <wp:effectExtent l="0" t="0" r="254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8060" cy="1307465"/>
                          </a:xfrm>
                          <a:prstGeom prst="rect">
                            <a:avLst/>
                          </a:prstGeom>
                        </pic:spPr>
                      </pic:pic>
                    </a:graphicData>
                  </a:graphic>
                </wp:anchor>
              </w:drawing>
            </w:r>
            <w:r>
              <w:rPr>
                <w:rFonts w:hint="eastAsia" w:ascii="宋体" w:hAnsi="宋体"/>
                <w:b/>
                <w:sz w:val="24"/>
              </w:rPr>
              <w:t>基本信息</w:t>
            </w:r>
          </w:p>
        </w:tc>
      </w:tr>
      <w:tr>
        <w:tblPrEx>
          <w:tblCellMar>
            <w:top w:w="0" w:type="dxa"/>
            <w:left w:w="108" w:type="dxa"/>
            <w:bottom w:w="0" w:type="dxa"/>
            <w:right w:w="108" w:type="dxa"/>
          </w:tblCellMar>
        </w:tblPrEx>
        <w:tc>
          <w:tcPr>
            <w:tcW w:w="1461" w:type="dxa"/>
            <w:tcBorders>
              <w:tl2br w:val="nil"/>
              <w:tr2bl w:val="nil"/>
            </w:tcBorders>
            <w:shd w:val="clear" w:color="auto" w:fill="auto"/>
            <w:vAlign w:val="center"/>
          </w:tcPr>
          <w:p>
            <w:pPr>
              <w:spacing w:line="300" w:lineRule="auto"/>
              <w:jc w:val="center"/>
              <w:rPr>
                <w:color w:val="000000"/>
                <w:szCs w:val="21"/>
              </w:rPr>
            </w:pPr>
            <w:r>
              <w:rPr>
                <w:color w:val="000000"/>
                <w:szCs w:val="21"/>
              </w:rPr>
              <w:t>姓  名：</w:t>
            </w:r>
          </w:p>
        </w:tc>
        <w:tc>
          <w:tcPr>
            <w:tcW w:w="193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张晶</w:t>
            </w:r>
          </w:p>
        </w:tc>
        <w:tc>
          <w:tcPr>
            <w:tcW w:w="1463" w:type="dxa"/>
            <w:tcBorders>
              <w:tl2br w:val="nil"/>
              <w:tr2bl w:val="nil"/>
            </w:tcBorders>
            <w:shd w:val="clear" w:color="auto" w:fill="auto"/>
            <w:vAlign w:val="center"/>
          </w:tcPr>
          <w:p>
            <w:pPr>
              <w:spacing w:line="300" w:lineRule="auto"/>
              <w:jc w:val="center"/>
              <w:rPr>
                <w:color w:val="000000"/>
                <w:szCs w:val="21"/>
              </w:rPr>
            </w:pPr>
            <w:r>
              <w:rPr>
                <w:color w:val="000000"/>
                <w:szCs w:val="21"/>
              </w:rPr>
              <w:t xml:space="preserve">性 </w:t>
            </w:r>
            <w:r>
              <w:rPr>
                <w:rFonts w:hint="eastAsia"/>
                <w:color w:val="000000"/>
                <w:szCs w:val="21"/>
              </w:rPr>
              <w:t xml:space="preserve">  </w:t>
            </w:r>
            <w:r>
              <w:rPr>
                <w:color w:val="000000"/>
                <w:szCs w:val="21"/>
              </w:rPr>
              <w:t xml:space="preserve"> 别：</w:t>
            </w:r>
          </w:p>
        </w:tc>
        <w:tc>
          <w:tcPr>
            <w:tcW w:w="319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女</w:t>
            </w:r>
          </w:p>
        </w:tc>
        <w:tc>
          <w:tcPr>
            <w:tcW w:w="1772" w:type="dxa"/>
            <w:vMerge w:val="restart"/>
            <w:tcBorders>
              <w:tl2br w:val="nil"/>
              <w:tr2bl w:val="nil"/>
            </w:tcBorders>
            <w:shd w:val="clear" w:color="auto" w:fill="auto"/>
            <w:vAlign w:val="center"/>
          </w:tcPr>
          <w:p>
            <w:pPr>
              <w:tabs>
                <w:tab w:val="center" w:pos="1380"/>
              </w:tabs>
              <w:spacing w:line="300" w:lineRule="auto"/>
              <w:jc w:val="center"/>
              <w:rPr>
                <w:color w:val="000000"/>
                <w:szCs w:val="21"/>
              </w:rPr>
            </w:pPr>
            <w:r>
              <w:rPr>
                <w:rFonts w:hint="eastAsia"/>
                <w:color w:val="000000"/>
                <w:szCs w:val="21"/>
              </w:rPr>
              <w:t>请插入一寸蓝底照片</w:t>
            </w:r>
          </w:p>
        </w:tc>
      </w:tr>
      <w:tr>
        <w:tblPrEx>
          <w:tblCellMar>
            <w:top w:w="0" w:type="dxa"/>
            <w:left w:w="108" w:type="dxa"/>
            <w:bottom w:w="0" w:type="dxa"/>
            <w:right w:w="108" w:type="dxa"/>
          </w:tblCellMar>
        </w:tblPrEx>
        <w:tc>
          <w:tcPr>
            <w:tcW w:w="1461" w:type="dxa"/>
            <w:tcBorders>
              <w:tl2br w:val="nil"/>
              <w:tr2bl w:val="nil"/>
            </w:tcBorders>
            <w:shd w:val="clear" w:color="auto" w:fill="auto"/>
            <w:vAlign w:val="center"/>
          </w:tcPr>
          <w:p>
            <w:pPr>
              <w:spacing w:line="300" w:lineRule="auto"/>
              <w:jc w:val="center"/>
              <w:rPr>
                <w:color w:val="000000"/>
                <w:szCs w:val="21"/>
              </w:rPr>
            </w:pPr>
            <w:r>
              <w:rPr>
                <w:color w:val="000000"/>
                <w:szCs w:val="21"/>
              </w:rPr>
              <w:t>民  族：</w:t>
            </w:r>
          </w:p>
        </w:tc>
        <w:tc>
          <w:tcPr>
            <w:tcW w:w="193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汉族</w:t>
            </w:r>
          </w:p>
        </w:tc>
        <w:tc>
          <w:tcPr>
            <w:tcW w:w="1463" w:type="dxa"/>
            <w:tcBorders>
              <w:tl2br w:val="nil"/>
              <w:tr2bl w:val="nil"/>
            </w:tcBorders>
            <w:shd w:val="clear" w:color="auto" w:fill="auto"/>
            <w:vAlign w:val="center"/>
          </w:tcPr>
          <w:p>
            <w:pPr>
              <w:spacing w:line="300" w:lineRule="auto"/>
              <w:jc w:val="center"/>
              <w:rPr>
                <w:color w:val="000000"/>
                <w:szCs w:val="21"/>
              </w:rPr>
            </w:pPr>
            <w:r>
              <w:rPr>
                <w:color w:val="000000"/>
                <w:szCs w:val="21"/>
              </w:rPr>
              <w:t>出生年月：</w:t>
            </w:r>
          </w:p>
        </w:tc>
        <w:tc>
          <w:tcPr>
            <w:tcW w:w="319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198</w:t>
            </w:r>
            <w:r>
              <w:rPr>
                <w:color w:val="000000"/>
                <w:szCs w:val="21"/>
              </w:rPr>
              <w:t>9</w:t>
            </w:r>
            <w:r>
              <w:rPr>
                <w:rFonts w:hint="eastAsia"/>
                <w:color w:val="000000"/>
                <w:szCs w:val="21"/>
              </w:rPr>
              <w:t>.</w:t>
            </w:r>
            <w:r>
              <w:rPr>
                <w:color w:val="000000"/>
                <w:szCs w:val="21"/>
              </w:rPr>
              <w:t>06</w:t>
            </w:r>
          </w:p>
        </w:tc>
        <w:tc>
          <w:tcPr>
            <w:tcW w:w="1772" w:type="dxa"/>
            <w:vMerge w:val="continue"/>
            <w:tcBorders>
              <w:tl2br w:val="nil"/>
              <w:tr2bl w:val="nil"/>
            </w:tcBorders>
            <w:shd w:val="clear" w:color="auto" w:fill="auto"/>
            <w:vAlign w:val="center"/>
          </w:tcPr>
          <w:p>
            <w:pPr>
              <w:spacing w:line="300" w:lineRule="auto"/>
              <w:jc w:val="center"/>
              <w:rPr>
                <w:color w:val="000000"/>
                <w:szCs w:val="21"/>
              </w:rPr>
            </w:pPr>
          </w:p>
        </w:tc>
      </w:tr>
      <w:tr>
        <w:tblPrEx>
          <w:tblCellMar>
            <w:top w:w="0" w:type="dxa"/>
            <w:left w:w="108" w:type="dxa"/>
            <w:bottom w:w="0" w:type="dxa"/>
            <w:right w:w="108" w:type="dxa"/>
          </w:tblCellMar>
        </w:tblPrEx>
        <w:tc>
          <w:tcPr>
            <w:tcW w:w="1461" w:type="dxa"/>
            <w:tcBorders>
              <w:tl2br w:val="nil"/>
              <w:tr2bl w:val="nil"/>
            </w:tcBorders>
            <w:shd w:val="clear" w:color="auto" w:fill="auto"/>
            <w:vAlign w:val="center"/>
          </w:tcPr>
          <w:p>
            <w:pPr>
              <w:spacing w:line="300" w:lineRule="auto"/>
              <w:jc w:val="center"/>
              <w:rPr>
                <w:color w:val="000000"/>
                <w:szCs w:val="21"/>
              </w:rPr>
            </w:pPr>
            <w:r>
              <w:rPr>
                <w:color w:val="000000"/>
                <w:szCs w:val="21"/>
              </w:rPr>
              <w:t>籍  贯：</w:t>
            </w:r>
          </w:p>
        </w:tc>
        <w:tc>
          <w:tcPr>
            <w:tcW w:w="193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湖南沅陵</w:t>
            </w:r>
          </w:p>
        </w:tc>
        <w:tc>
          <w:tcPr>
            <w:tcW w:w="1463" w:type="dxa"/>
            <w:tcBorders>
              <w:tl2br w:val="nil"/>
              <w:tr2bl w:val="nil"/>
            </w:tcBorders>
            <w:shd w:val="clear" w:color="auto" w:fill="auto"/>
            <w:vAlign w:val="center"/>
          </w:tcPr>
          <w:p>
            <w:pPr>
              <w:spacing w:line="300" w:lineRule="auto"/>
              <w:jc w:val="center"/>
              <w:rPr>
                <w:color w:val="000000"/>
                <w:szCs w:val="21"/>
              </w:rPr>
            </w:pPr>
            <w:r>
              <w:rPr>
                <w:color w:val="000000"/>
                <w:szCs w:val="21"/>
              </w:rPr>
              <w:t>政治面貌：</w:t>
            </w:r>
          </w:p>
        </w:tc>
        <w:tc>
          <w:tcPr>
            <w:tcW w:w="3190" w:type="dxa"/>
            <w:tcBorders>
              <w:tl2br w:val="nil"/>
              <w:tr2bl w:val="nil"/>
            </w:tcBorders>
            <w:shd w:val="clear" w:color="auto" w:fill="auto"/>
            <w:vAlign w:val="center"/>
          </w:tcPr>
          <w:p>
            <w:pPr>
              <w:spacing w:line="300" w:lineRule="auto"/>
              <w:jc w:val="center"/>
              <w:rPr>
                <w:color w:val="000000"/>
                <w:szCs w:val="21"/>
              </w:rPr>
            </w:pPr>
            <w:r>
              <w:rPr>
                <w:color w:val="000000"/>
                <w:szCs w:val="21"/>
              </w:rPr>
              <w:t>中共党员</w:t>
            </w:r>
          </w:p>
        </w:tc>
        <w:tc>
          <w:tcPr>
            <w:tcW w:w="1772" w:type="dxa"/>
            <w:vMerge w:val="continue"/>
            <w:tcBorders>
              <w:tl2br w:val="nil"/>
              <w:tr2bl w:val="nil"/>
            </w:tcBorders>
            <w:shd w:val="clear" w:color="auto" w:fill="auto"/>
            <w:vAlign w:val="center"/>
          </w:tcPr>
          <w:p>
            <w:pPr>
              <w:spacing w:line="300" w:lineRule="auto"/>
              <w:jc w:val="center"/>
              <w:rPr>
                <w:color w:val="000000"/>
                <w:szCs w:val="21"/>
              </w:rPr>
            </w:pPr>
          </w:p>
        </w:tc>
      </w:tr>
      <w:tr>
        <w:tblPrEx>
          <w:tblCellMar>
            <w:top w:w="0" w:type="dxa"/>
            <w:left w:w="108" w:type="dxa"/>
            <w:bottom w:w="0" w:type="dxa"/>
            <w:right w:w="108" w:type="dxa"/>
          </w:tblCellMar>
        </w:tblPrEx>
        <w:tc>
          <w:tcPr>
            <w:tcW w:w="1461" w:type="dxa"/>
            <w:tcBorders>
              <w:tl2br w:val="nil"/>
              <w:tr2bl w:val="nil"/>
            </w:tcBorders>
            <w:shd w:val="clear" w:color="auto" w:fill="auto"/>
            <w:vAlign w:val="center"/>
          </w:tcPr>
          <w:p>
            <w:pPr>
              <w:spacing w:line="300" w:lineRule="auto"/>
              <w:jc w:val="center"/>
              <w:rPr>
                <w:color w:val="000000"/>
                <w:szCs w:val="21"/>
              </w:rPr>
            </w:pPr>
            <w:r>
              <w:rPr>
                <w:color w:val="000000"/>
                <w:szCs w:val="21"/>
              </w:rPr>
              <w:t>学  历：</w:t>
            </w:r>
          </w:p>
        </w:tc>
        <w:tc>
          <w:tcPr>
            <w:tcW w:w="193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研究生</w:t>
            </w:r>
          </w:p>
        </w:tc>
        <w:tc>
          <w:tcPr>
            <w:tcW w:w="1463"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职    称：</w:t>
            </w:r>
          </w:p>
        </w:tc>
        <w:tc>
          <w:tcPr>
            <w:tcW w:w="319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副教授</w:t>
            </w:r>
          </w:p>
        </w:tc>
        <w:tc>
          <w:tcPr>
            <w:tcW w:w="1772" w:type="dxa"/>
            <w:vMerge w:val="continue"/>
            <w:tcBorders>
              <w:tl2br w:val="nil"/>
              <w:tr2bl w:val="nil"/>
            </w:tcBorders>
            <w:shd w:val="clear" w:color="auto" w:fill="auto"/>
            <w:vAlign w:val="center"/>
          </w:tcPr>
          <w:p>
            <w:pPr>
              <w:spacing w:line="300" w:lineRule="auto"/>
              <w:jc w:val="center"/>
              <w:rPr>
                <w:color w:val="000000"/>
                <w:szCs w:val="21"/>
              </w:rPr>
            </w:pPr>
          </w:p>
        </w:tc>
      </w:tr>
      <w:tr>
        <w:tblPrEx>
          <w:tblCellMar>
            <w:top w:w="0" w:type="dxa"/>
            <w:left w:w="108" w:type="dxa"/>
            <w:bottom w:w="0" w:type="dxa"/>
            <w:right w:w="108" w:type="dxa"/>
          </w:tblCellMar>
        </w:tblPrEx>
        <w:tc>
          <w:tcPr>
            <w:tcW w:w="1461"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学  位</w:t>
            </w:r>
            <w:r>
              <w:rPr>
                <w:color w:val="000000"/>
                <w:szCs w:val="21"/>
              </w:rPr>
              <w:t>：</w:t>
            </w:r>
          </w:p>
        </w:tc>
        <w:tc>
          <w:tcPr>
            <w:tcW w:w="193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工学博士</w:t>
            </w:r>
          </w:p>
        </w:tc>
        <w:tc>
          <w:tcPr>
            <w:tcW w:w="1463" w:type="dxa"/>
            <w:tcBorders>
              <w:tl2br w:val="nil"/>
              <w:tr2bl w:val="nil"/>
            </w:tcBorders>
            <w:shd w:val="clear" w:color="auto" w:fill="auto"/>
            <w:vAlign w:val="center"/>
          </w:tcPr>
          <w:p>
            <w:pPr>
              <w:spacing w:line="300" w:lineRule="auto"/>
              <w:jc w:val="center"/>
              <w:rPr>
                <w:color w:val="000000"/>
                <w:szCs w:val="21"/>
              </w:rPr>
            </w:pPr>
            <w:r>
              <w:rPr>
                <w:color w:val="000000"/>
                <w:szCs w:val="21"/>
              </w:rPr>
              <w:t>E-Mail：</w:t>
            </w:r>
          </w:p>
        </w:tc>
        <w:tc>
          <w:tcPr>
            <w:tcW w:w="3190" w:type="dxa"/>
            <w:tcBorders>
              <w:tl2br w:val="nil"/>
              <w:tr2bl w:val="nil"/>
            </w:tcBorders>
            <w:shd w:val="clear" w:color="auto" w:fill="auto"/>
            <w:vAlign w:val="center"/>
          </w:tcPr>
          <w:p>
            <w:pPr>
              <w:spacing w:line="300" w:lineRule="auto"/>
              <w:jc w:val="center"/>
              <w:rPr>
                <w:color w:val="000000"/>
                <w:szCs w:val="21"/>
              </w:rPr>
            </w:pPr>
            <w:r>
              <w:rPr>
                <w:rFonts w:hint="eastAsia"/>
                <w:color w:val="000000"/>
                <w:szCs w:val="21"/>
              </w:rPr>
              <w:t>9</w:t>
            </w:r>
            <w:r>
              <w:rPr>
                <w:color w:val="000000"/>
                <w:szCs w:val="21"/>
              </w:rPr>
              <w:t>72570350</w:t>
            </w:r>
            <w:r>
              <w:rPr>
                <w:rFonts w:hint="eastAsia"/>
                <w:color w:val="000000"/>
                <w:szCs w:val="21"/>
              </w:rPr>
              <w:t>@qq.com</w:t>
            </w:r>
          </w:p>
        </w:tc>
        <w:tc>
          <w:tcPr>
            <w:tcW w:w="1772" w:type="dxa"/>
            <w:vMerge w:val="continue"/>
            <w:tcBorders>
              <w:tl2br w:val="nil"/>
              <w:tr2bl w:val="nil"/>
            </w:tcBorders>
            <w:shd w:val="clear" w:color="auto" w:fill="auto"/>
            <w:vAlign w:val="center"/>
          </w:tcPr>
          <w:p>
            <w:pPr>
              <w:spacing w:line="300" w:lineRule="auto"/>
              <w:jc w:val="center"/>
              <w:rPr>
                <w:color w:val="000000"/>
                <w:szCs w:val="21"/>
              </w:rPr>
            </w:pPr>
          </w:p>
        </w:tc>
      </w:tr>
      <w:tr>
        <w:tblPrEx>
          <w:tblCellMar>
            <w:top w:w="0" w:type="dxa"/>
            <w:left w:w="108" w:type="dxa"/>
            <w:bottom w:w="0" w:type="dxa"/>
            <w:right w:w="108" w:type="dxa"/>
          </w:tblCellMar>
        </w:tblPrEx>
        <w:trPr>
          <w:trHeight w:val="567" w:hRule="atLeast"/>
        </w:trPr>
        <w:tc>
          <w:tcPr>
            <w:tcW w:w="9816" w:type="dxa"/>
            <w:gridSpan w:val="5"/>
            <w:tcBorders>
              <w:tl2br w:val="nil"/>
              <w:tr2bl w:val="nil"/>
            </w:tcBorders>
            <w:shd w:val="clear" w:color="auto" w:fill="BDD6EE" w:themeFill="accent1" w:themeFillTint="66"/>
            <w:vAlign w:val="center"/>
          </w:tcPr>
          <w:p>
            <w:pPr>
              <w:spacing w:line="300" w:lineRule="auto"/>
              <w:rPr>
                <w:color w:val="000000"/>
                <w:szCs w:val="21"/>
              </w:rPr>
            </w:pPr>
            <w:r>
              <w:rPr>
                <w:rFonts w:hint="eastAsia" w:ascii="宋体" w:hAnsi="宋体"/>
                <w:b/>
                <w:sz w:val="24"/>
              </w:rPr>
              <w:t>主要经历</w:t>
            </w:r>
          </w:p>
        </w:tc>
      </w:tr>
      <w:tr>
        <w:tblPrEx>
          <w:tblCellMar>
            <w:top w:w="0" w:type="dxa"/>
            <w:left w:w="108" w:type="dxa"/>
            <w:bottom w:w="0" w:type="dxa"/>
            <w:right w:w="108" w:type="dxa"/>
          </w:tblCellMar>
        </w:tblPrEx>
        <w:tc>
          <w:tcPr>
            <w:tcW w:w="3391" w:type="dxa"/>
            <w:gridSpan w:val="2"/>
            <w:tcBorders>
              <w:tl2br w:val="nil"/>
              <w:tr2bl w:val="nil"/>
            </w:tcBorders>
            <w:shd w:val="clear" w:color="auto" w:fill="auto"/>
            <w:vAlign w:val="center"/>
          </w:tcPr>
          <w:p>
            <w:pPr>
              <w:spacing w:line="300" w:lineRule="auto"/>
              <w:jc w:val="center"/>
              <w:rPr>
                <w:color w:val="000000"/>
                <w:szCs w:val="21"/>
              </w:rPr>
            </w:pPr>
            <w:r>
              <w:rPr>
                <w:rFonts w:hint="eastAsia" w:ascii="宋体" w:hAnsi="宋体"/>
                <w:color w:val="000000"/>
                <w:sz w:val="24"/>
              </w:rPr>
              <w:t>200</w:t>
            </w:r>
            <w:r>
              <w:rPr>
                <w:rFonts w:ascii="宋体" w:hAnsi="宋体"/>
                <w:color w:val="000000"/>
                <w:sz w:val="24"/>
              </w:rPr>
              <w:t>8</w:t>
            </w:r>
            <w:r>
              <w:rPr>
                <w:rFonts w:hint="eastAsia" w:ascii="宋体" w:hAnsi="宋体"/>
                <w:color w:val="000000"/>
                <w:sz w:val="24"/>
              </w:rPr>
              <w:t>.09—20</w:t>
            </w:r>
            <w:r>
              <w:rPr>
                <w:rFonts w:ascii="宋体" w:hAnsi="宋体"/>
                <w:color w:val="000000"/>
                <w:sz w:val="24"/>
              </w:rPr>
              <w:t>12</w:t>
            </w:r>
            <w:r>
              <w:rPr>
                <w:rFonts w:hint="eastAsia" w:ascii="宋体" w:hAnsi="宋体"/>
                <w:color w:val="000000"/>
                <w:sz w:val="24"/>
              </w:rPr>
              <w:t>.07</w:t>
            </w:r>
          </w:p>
        </w:tc>
        <w:tc>
          <w:tcPr>
            <w:tcW w:w="6425" w:type="dxa"/>
            <w:gridSpan w:val="3"/>
            <w:tcBorders>
              <w:tl2br w:val="nil"/>
              <w:tr2bl w:val="nil"/>
            </w:tcBorders>
            <w:shd w:val="clear" w:color="auto" w:fill="auto"/>
            <w:vAlign w:val="center"/>
          </w:tcPr>
          <w:p>
            <w:pPr>
              <w:spacing w:line="300" w:lineRule="auto"/>
              <w:jc w:val="center"/>
              <w:rPr>
                <w:color w:val="000000"/>
                <w:szCs w:val="21"/>
              </w:rPr>
            </w:pPr>
            <w:r>
              <w:rPr>
                <w:rFonts w:hint="eastAsia" w:ascii="宋体" w:hAnsi="宋体"/>
                <w:color w:val="000000"/>
                <w:sz w:val="24"/>
              </w:rPr>
              <w:t>四川师范大学化学与材料科学学院化学专业本科学习</w:t>
            </w:r>
          </w:p>
        </w:tc>
      </w:tr>
      <w:tr>
        <w:tblPrEx>
          <w:tblCellMar>
            <w:top w:w="0" w:type="dxa"/>
            <w:left w:w="108" w:type="dxa"/>
            <w:bottom w:w="0" w:type="dxa"/>
            <w:right w:w="108" w:type="dxa"/>
          </w:tblCellMar>
        </w:tblPrEx>
        <w:tc>
          <w:tcPr>
            <w:tcW w:w="3391" w:type="dxa"/>
            <w:gridSpan w:val="2"/>
            <w:tcBorders>
              <w:tl2br w:val="nil"/>
              <w:tr2bl w:val="nil"/>
            </w:tcBorders>
            <w:shd w:val="clear" w:color="auto" w:fill="auto"/>
            <w:vAlign w:val="center"/>
          </w:tcPr>
          <w:p>
            <w:pPr>
              <w:spacing w:line="300" w:lineRule="auto"/>
              <w:jc w:val="center"/>
              <w:rPr>
                <w:rFonts w:ascii="宋体" w:hAnsi="宋体"/>
                <w:color w:val="000000"/>
                <w:sz w:val="24"/>
              </w:rPr>
            </w:pPr>
            <w:r>
              <w:rPr>
                <w:rFonts w:hint="eastAsia" w:ascii="宋体" w:hAnsi="宋体"/>
                <w:color w:val="000000"/>
                <w:sz w:val="24"/>
              </w:rPr>
              <w:t>201</w:t>
            </w:r>
            <w:r>
              <w:rPr>
                <w:rFonts w:ascii="宋体" w:hAnsi="宋体"/>
                <w:color w:val="000000"/>
                <w:sz w:val="24"/>
              </w:rPr>
              <w:t>2</w:t>
            </w:r>
            <w:r>
              <w:rPr>
                <w:rFonts w:hint="eastAsia" w:ascii="宋体" w:hAnsi="宋体"/>
                <w:color w:val="000000"/>
                <w:sz w:val="24"/>
              </w:rPr>
              <w:t>.09—2014.07</w:t>
            </w:r>
          </w:p>
        </w:tc>
        <w:tc>
          <w:tcPr>
            <w:tcW w:w="6425" w:type="dxa"/>
            <w:gridSpan w:val="3"/>
            <w:tcBorders>
              <w:tl2br w:val="nil"/>
              <w:tr2bl w:val="nil"/>
            </w:tcBorders>
            <w:shd w:val="clear" w:color="auto" w:fill="auto"/>
            <w:vAlign w:val="center"/>
          </w:tcPr>
          <w:p>
            <w:pPr>
              <w:spacing w:line="300" w:lineRule="auto"/>
              <w:jc w:val="center"/>
              <w:rPr>
                <w:rFonts w:ascii="宋体" w:hAnsi="宋体"/>
                <w:color w:val="000000"/>
                <w:sz w:val="24"/>
              </w:rPr>
            </w:pPr>
            <w:r>
              <w:rPr>
                <w:rFonts w:hint="eastAsia" w:ascii="宋体" w:hAnsi="宋体"/>
                <w:color w:val="000000"/>
                <w:sz w:val="24"/>
              </w:rPr>
              <w:t>中国科学院大学山西煤炭化学研究所材料学专业硕士研究生学习</w:t>
            </w:r>
          </w:p>
        </w:tc>
      </w:tr>
      <w:tr>
        <w:tblPrEx>
          <w:tblCellMar>
            <w:top w:w="0" w:type="dxa"/>
            <w:left w:w="108" w:type="dxa"/>
            <w:bottom w:w="0" w:type="dxa"/>
            <w:right w:w="108" w:type="dxa"/>
          </w:tblCellMar>
        </w:tblPrEx>
        <w:tc>
          <w:tcPr>
            <w:tcW w:w="3391" w:type="dxa"/>
            <w:gridSpan w:val="2"/>
            <w:tcBorders>
              <w:tl2br w:val="nil"/>
              <w:tr2bl w:val="nil"/>
            </w:tcBorders>
            <w:shd w:val="clear" w:color="auto" w:fill="auto"/>
            <w:vAlign w:val="center"/>
          </w:tcPr>
          <w:p>
            <w:pPr>
              <w:spacing w:line="300" w:lineRule="auto"/>
              <w:jc w:val="center"/>
              <w:rPr>
                <w:rFonts w:ascii="宋体" w:hAnsi="宋体"/>
                <w:color w:val="000000"/>
                <w:sz w:val="24"/>
              </w:rPr>
            </w:pPr>
            <w:r>
              <w:rPr>
                <w:rFonts w:hint="eastAsia" w:ascii="宋体" w:hAnsi="宋体"/>
                <w:color w:val="000000"/>
                <w:sz w:val="24"/>
              </w:rPr>
              <w:t>201</w:t>
            </w:r>
            <w:r>
              <w:rPr>
                <w:rFonts w:ascii="宋体" w:hAnsi="宋体"/>
                <w:color w:val="000000"/>
                <w:sz w:val="24"/>
              </w:rPr>
              <w:t>4</w:t>
            </w:r>
            <w:r>
              <w:rPr>
                <w:rFonts w:hint="eastAsia" w:ascii="宋体" w:hAnsi="宋体"/>
                <w:color w:val="000000"/>
                <w:sz w:val="24"/>
              </w:rPr>
              <w:t>.09—201</w:t>
            </w:r>
            <w:r>
              <w:rPr>
                <w:rFonts w:ascii="宋体" w:hAnsi="宋体"/>
                <w:color w:val="000000"/>
                <w:sz w:val="24"/>
              </w:rPr>
              <w:t>7</w:t>
            </w:r>
            <w:r>
              <w:rPr>
                <w:rFonts w:hint="eastAsia" w:ascii="宋体" w:hAnsi="宋体"/>
                <w:color w:val="000000"/>
                <w:sz w:val="24"/>
              </w:rPr>
              <w:t>.07</w:t>
            </w:r>
          </w:p>
        </w:tc>
        <w:tc>
          <w:tcPr>
            <w:tcW w:w="6425" w:type="dxa"/>
            <w:gridSpan w:val="3"/>
            <w:tcBorders>
              <w:tl2br w:val="nil"/>
              <w:tr2bl w:val="nil"/>
            </w:tcBorders>
            <w:shd w:val="clear" w:color="auto" w:fill="auto"/>
            <w:vAlign w:val="center"/>
          </w:tcPr>
          <w:p>
            <w:pPr>
              <w:spacing w:line="300" w:lineRule="auto"/>
              <w:jc w:val="center"/>
              <w:rPr>
                <w:rFonts w:ascii="宋体" w:hAnsi="宋体"/>
                <w:color w:val="000000"/>
                <w:sz w:val="24"/>
              </w:rPr>
            </w:pPr>
            <w:r>
              <w:rPr>
                <w:rFonts w:hint="eastAsia" w:ascii="宋体" w:hAnsi="宋体"/>
                <w:color w:val="000000"/>
                <w:sz w:val="24"/>
              </w:rPr>
              <w:t>中国科学院大学山西煤炭化学研究所材料物理与化学专业博士研究生学习</w:t>
            </w:r>
          </w:p>
        </w:tc>
      </w:tr>
      <w:tr>
        <w:tblPrEx>
          <w:tblCellMar>
            <w:top w:w="0" w:type="dxa"/>
            <w:left w:w="108" w:type="dxa"/>
            <w:bottom w:w="0" w:type="dxa"/>
            <w:right w:w="108" w:type="dxa"/>
          </w:tblCellMar>
        </w:tblPrEx>
        <w:tc>
          <w:tcPr>
            <w:tcW w:w="3391" w:type="dxa"/>
            <w:gridSpan w:val="2"/>
            <w:tcBorders>
              <w:tl2br w:val="nil"/>
              <w:tr2bl w:val="nil"/>
            </w:tcBorders>
            <w:shd w:val="clear" w:color="auto" w:fill="auto"/>
            <w:vAlign w:val="center"/>
          </w:tcPr>
          <w:p>
            <w:pPr>
              <w:spacing w:line="300" w:lineRule="auto"/>
              <w:jc w:val="center"/>
              <w:rPr>
                <w:rFonts w:ascii="宋体" w:hAnsi="宋体"/>
                <w:color w:val="000000"/>
                <w:sz w:val="24"/>
              </w:rPr>
            </w:pPr>
            <w:r>
              <w:rPr>
                <w:rFonts w:hint="eastAsia" w:ascii="宋体" w:hAnsi="宋体"/>
                <w:color w:val="000000"/>
                <w:sz w:val="24"/>
              </w:rPr>
              <w:t>2017.07—至今</w:t>
            </w:r>
          </w:p>
        </w:tc>
        <w:tc>
          <w:tcPr>
            <w:tcW w:w="6425" w:type="dxa"/>
            <w:gridSpan w:val="3"/>
            <w:tcBorders>
              <w:tl2br w:val="nil"/>
              <w:tr2bl w:val="nil"/>
            </w:tcBorders>
            <w:shd w:val="clear" w:color="auto" w:fill="auto"/>
            <w:vAlign w:val="center"/>
          </w:tcPr>
          <w:p>
            <w:pPr>
              <w:spacing w:line="300" w:lineRule="auto"/>
              <w:jc w:val="center"/>
              <w:rPr>
                <w:rFonts w:ascii="宋体" w:hAnsi="宋体"/>
                <w:color w:val="000000"/>
                <w:sz w:val="24"/>
              </w:rPr>
            </w:pPr>
            <w:r>
              <w:rPr>
                <w:rFonts w:hint="eastAsia" w:ascii="宋体" w:hAnsi="宋体"/>
                <w:color w:val="000000"/>
                <w:sz w:val="24"/>
              </w:rPr>
              <w:t>贵州民族大学材料科学与工程学院教师</w:t>
            </w:r>
          </w:p>
        </w:tc>
      </w:tr>
      <w:tr>
        <w:tblPrEx>
          <w:tblCellMar>
            <w:top w:w="0" w:type="dxa"/>
            <w:left w:w="108" w:type="dxa"/>
            <w:bottom w:w="0" w:type="dxa"/>
            <w:right w:w="108" w:type="dxa"/>
          </w:tblCellMar>
        </w:tblPrEx>
        <w:trPr>
          <w:trHeight w:val="567" w:hRule="atLeast"/>
        </w:trPr>
        <w:tc>
          <w:tcPr>
            <w:tcW w:w="9816" w:type="dxa"/>
            <w:gridSpan w:val="5"/>
            <w:tcBorders>
              <w:tl2br w:val="nil"/>
              <w:tr2bl w:val="nil"/>
            </w:tcBorders>
            <w:shd w:val="clear" w:color="auto" w:fill="BDD6EE" w:themeFill="accent1" w:themeFillTint="66"/>
            <w:vAlign w:val="center"/>
          </w:tcPr>
          <w:p>
            <w:pPr>
              <w:spacing w:line="300" w:lineRule="auto"/>
              <w:jc w:val="left"/>
              <w:rPr>
                <w:rFonts w:ascii="宋体" w:hAnsi="宋体"/>
                <w:color w:val="000000"/>
                <w:sz w:val="24"/>
              </w:rPr>
            </w:pPr>
            <w:r>
              <w:rPr>
                <w:rFonts w:hint="eastAsia" w:ascii="宋体" w:hAnsi="宋体"/>
                <w:b/>
                <w:sz w:val="24"/>
              </w:rPr>
              <w:t>研究方向</w:t>
            </w:r>
          </w:p>
        </w:tc>
      </w:tr>
      <w:tr>
        <w:tblPrEx>
          <w:tblCellMar>
            <w:top w:w="0" w:type="dxa"/>
            <w:left w:w="108" w:type="dxa"/>
            <w:bottom w:w="0" w:type="dxa"/>
            <w:right w:w="108" w:type="dxa"/>
          </w:tblCellMar>
        </w:tblPrEx>
        <w:tc>
          <w:tcPr>
            <w:tcW w:w="9816" w:type="dxa"/>
            <w:gridSpan w:val="5"/>
            <w:tcBorders>
              <w:tl2br w:val="nil"/>
              <w:tr2bl w:val="nil"/>
            </w:tcBorders>
            <w:shd w:val="clear" w:color="auto" w:fill="auto"/>
          </w:tcPr>
          <w:p>
            <w:pPr>
              <w:spacing w:line="360" w:lineRule="auto"/>
              <w:rPr>
                <w:rFonts w:hint="default" w:eastAsia="宋体"/>
                <w:sz w:val="24"/>
                <w:lang w:val="en-US" w:eastAsia="zh-CN"/>
              </w:rPr>
            </w:pPr>
            <w:r>
              <w:rPr>
                <w:rFonts w:hint="eastAsia"/>
                <w:sz w:val="24"/>
              </w:rPr>
              <w:t>无机功能材料的制备与</w:t>
            </w:r>
            <w:r>
              <w:rPr>
                <w:rFonts w:hint="eastAsia"/>
                <w:sz w:val="24"/>
                <w:lang w:val="en-US" w:eastAsia="zh-CN"/>
              </w:rPr>
              <w:t>光热电性能研究</w:t>
            </w:r>
          </w:p>
          <w:p>
            <w:pPr>
              <w:spacing w:line="360" w:lineRule="auto"/>
              <w:rPr>
                <w:rFonts w:hint="eastAsia" w:eastAsia="宋体"/>
                <w:sz w:val="24"/>
                <w:lang w:val="en-US" w:eastAsia="zh-CN"/>
              </w:rPr>
            </w:pPr>
            <w:r>
              <w:rPr>
                <w:rFonts w:hint="eastAsia"/>
                <w:sz w:val="24"/>
              </w:rPr>
              <w:t>光学多层智能涂层/复合涂层的制备</w:t>
            </w:r>
            <w:r>
              <w:rPr>
                <w:rFonts w:hint="eastAsia"/>
                <w:sz w:val="24"/>
                <w:lang w:val="en-US" w:eastAsia="zh-CN"/>
              </w:rPr>
              <w:t>研究</w:t>
            </w:r>
          </w:p>
        </w:tc>
      </w:tr>
      <w:tr>
        <w:tblPrEx>
          <w:tblCellMar>
            <w:top w:w="0" w:type="dxa"/>
            <w:left w:w="108" w:type="dxa"/>
            <w:bottom w:w="0" w:type="dxa"/>
            <w:right w:w="108" w:type="dxa"/>
          </w:tblCellMar>
        </w:tblPrEx>
        <w:trPr>
          <w:trHeight w:val="567" w:hRule="atLeast"/>
        </w:trPr>
        <w:tc>
          <w:tcPr>
            <w:tcW w:w="9816" w:type="dxa"/>
            <w:gridSpan w:val="5"/>
            <w:tcBorders>
              <w:tl2br w:val="nil"/>
              <w:tr2bl w:val="nil"/>
            </w:tcBorders>
            <w:shd w:val="clear" w:color="auto" w:fill="BDD6EE" w:themeFill="accent1" w:themeFillTint="66"/>
            <w:vAlign w:val="center"/>
          </w:tcPr>
          <w:p>
            <w:pPr>
              <w:spacing w:line="300" w:lineRule="auto"/>
              <w:rPr>
                <w:sz w:val="24"/>
              </w:rPr>
            </w:pPr>
            <w:r>
              <w:rPr>
                <w:rFonts w:hint="eastAsia" w:ascii="宋体" w:hAnsi="宋体"/>
                <w:b/>
                <w:sz w:val="24"/>
              </w:rPr>
              <w:t>科研与教学情况</w:t>
            </w:r>
          </w:p>
        </w:tc>
      </w:tr>
      <w:tr>
        <w:tblPrEx>
          <w:tblCellMar>
            <w:top w:w="0" w:type="dxa"/>
            <w:left w:w="108" w:type="dxa"/>
            <w:bottom w:w="0" w:type="dxa"/>
            <w:right w:w="108" w:type="dxa"/>
          </w:tblCellMar>
        </w:tblPrEx>
        <w:tc>
          <w:tcPr>
            <w:tcW w:w="9816" w:type="dxa"/>
            <w:gridSpan w:val="5"/>
            <w:tcBorders>
              <w:tl2br w:val="nil"/>
              <w:tr2bl w:val="nil"/>
            </w:tcBorders>
            <w:shd w:val="clear" w:color="auto" w:fill="auto"/>
          </w:tcPr>
          <w:p>
            <w:pPr>
              <w:pStyle w:val="3"/>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Times New Roman" w:hAnsi="Times New Roman"/>
                <w:sz w:val="24"/>
                <w:lang w:val="en-US" w:eastAsia="zh-CN"/>
              </w:rPr>
            </w:pPr>
            <w:r>
              <w:rPr>
                <w:rFonts w:hint="eastAsia" w:cs="Times New Roman"/>
                <w:color w:val="000000"/>
                <w:kern w:val="2"/>
                <w:sz w:val="24"/>
                <w:szCs w:val="24"/>
              </w:rPr>
              <w:t>多年来一直从事热致变色功能材料制备研究，</w:t>
            </w:r>
            <w:r>
              <w:rPr>
                <w:rFonts w:hint="default" w:ascii="Times New Roman" w:hAnsi="Times New Roman" w:cs="Times New Roman"/>
                <w:color w:val="000000"/>
                <w:kern w:val="2"/>
                <w:sz w:val="24"/>
                <w:szCs w:val="24"/>
              </w:rPr>
              <w:t>VO</w:t>
            </w:r>
            <w:r>
              <w:rPr>
                <w:rFonts w:hint="default" w:ascii="Times New Roman" w:hAnsi="Times New Roman" w:cs="Times New Roman"/>
                <w:color w:val="000000"/>
                <w:kern w:val="2"/>
                <w:sz w:val="24"/>
                <w:szCs w:val="24"/>
                <w:vertAlign w:val="subscript"/>
              </w:rPr>
              <w:t>2</w:t>
            </w:r>
            <w:r>
              <w:rPr>
                <w:rFonts w:hint="eastAsia" w:cs="Times New Roman"/>
                <w:color w:val="000000"/>
                <w:kern w:val="2"/>
                <w:sz w:val="24"/>
                <w:szCs w:val="24"/>
              </w:rPr>
              <w:t>基</w:t>
            </w:r>
            <w:r>
              <w:rPr>
                <w:rFonts w:hint="eastAsia" w:cs="Times New Roman"/>
                <w:color w:val="000000"/>
                <w:kern w:val="2"/>
                <w:sz w:val="24"/>
                <w:szCs w:val="24"/>
                <w:lang w:val="en-US" w:eastAsia="zh-CN"/>
              </w:rPr>
              <w:t>智能材料在隔热、红外调控、电池等领域的应用研究</w:t>
            </w:r>
            <w:r>
              <w:rPr>
                <w:rFonts w:hint="eastAsia" w:cs="Times New Roman"/>
                <w:color w:val="000000"/>
                <w:kern w:val="2"/>
                <w:sz w:val="24"/>
                <w:szCs w:val="24"/>
              </w:rPr>
              <w:t>及技术开发工作。</w:t>
            </w:r>
            <w:r>
              <w:rPr>
                <w:rFonts w:hint="eastAsia" w:ascii="Times New Roman" w:hAnsi="Times New Roman"/>
                <w:sz w:val="24"/>
              </w:rPr>
              <w:t>主持国家级、</w:t>
            </w:r>
            <w:r>
              <w:rPr>
                <w:rFonts w:hint="eastAsia" w:ascii="Times New Roman" w:hAnsi="Times New Roman"/>
                <w:sz w:val="24"/>
                <w:lang w:val="en-US" w:eastAsia="zh-CN"/>
              </w:rPr>
              <w:t>省级、</w:t>
            </w:r>
            <w:r>
              <w:rPr>
                <w:rFonts w:hint="eastAsia" w:ascii="Times New Roman" w:hAnsi="Times New Roman"/>
                <w:sz w:val="24"/>
              </w:rPr>
              <w:t>校级项目</w:t>
            </w:r>
            <w:r>
              <w:rPr>
                <w:rFonts w:hint="eastAsia" w:ascii="Times New Roman" w:hAnsi="Times New Roman"/>
                <w:sz w:val="24"/>
                <w:lang w:val="en-US" w:eastAsia="zh-CN"/>
              </w:rPr>
              <w:t>3</w:t>
            </w:r>
            <w:r>
              <w:rPr>
                <w:rFonts w:hint="eastAsia" w:ascii="Times New Roman" w:hAnsi="Times New Roman"/>
                <w:sz w:val="24"/>
              </w:rPr>
              <w:t>项。</w:t>
            </w:r>
            <w:r>
              <w:rPr>
                <w:rFonts w:hint="eastAsia" w:ascii="Times New Roman" w:hAnsi="Times New Roman"/>
                <w:sz w:val="24"/>
                <w:lang w:val="en-US" w:eastAsia="zh-CN"/>
              </w:rPr>
              <w:t>发表高水平学术论文数十篇。</w:t>
            </w:r>
            <w:r>
              <w:rPr>
                <w:rFonts w:hint="default" w:ascii="Times New Roman" w:hAnsi="Times New Roman" w:eastAsia="宋体" w:cs="Times New Roman"/>
                <w:color w:val="000000"/>
                <w:kern w:val="2"/>
                <w:sz w:val="24"/>
                <w:szCs w:val="24"/>
              </w:rPr>
              <w:t>主讲本科生课程《无机化学》</w:t>
            </w:r>
            <w:r>
              <w:rPr>
                <w:rFonts w:hint="eastAsia" w:ascii="Times New Roman" w:hAnsi="Times New Roman" w:cs="Times New Roman"/>
                <w:color w:val="000000"/>
                <w:kern w:val="2"/>
                <w:sz w:val="24"/>
                <w:szCs w:val="24"/>
                <w:lang w:eastAsia="zh-CN"/>
              </w:rPr>
              <w:t>、《</w:t>
            </w:r>
            <w:r>
              <w:rPr>
                <w:rFonts w:hint="eastAsia" w:ascii="Times New Roman" w:hAnsi="Times New Roman" w:cs="Times New Roman"/>
                <w:color w:val="000000"/>
                <w:kern w:val="2"/>
                <w:sz w:val="24"/>
                <w:szCs w:val="24"/>
                <w:lang w:val="en-US" w:eastAsia="zh-CN"/>
              </w:rPr>
              <w:t>分析化学</w:t>
            </w:r>
            <w:r>
              <w:rPr>
                <w:rFonts w:hint="eastAsia" w:ascii="Times New Roman" w:hAnsi="Times New Roman" w:cs="Times New Roman"/>
                <w:color w:val="000000"/>
                <w:kern w:val="2"/>
                <w:sz w:val="24"/>
                <w:szCs w:val="24"/>
                <w:lang w:eastAsia="zh-CN"/>
              </w:rPr>
              <w:t>》、</w:t>
            </w:r>
            <w:r>
              <w:rPr>
                <w:rFonts w:hint="default" w:ascii="Times New Roman" w:hAnsi="Times New Roman" w:eastAsia="宋体" w:cs="Times New Roman"/>
                <w:color w:val="000000"/>
                <w:kern w:val="2"/>
                <w:sz w:val="24"/>
                <w:szCs w:val="24"/>
              </w:rPr>
              <w:t>《材料化学》</w:t>
            </w:r>
            <w:r>
              <w:rPr>
                <w:rFonts w:hint="eastAsia" w:ascii="Times New Roman" w:hAnsi="Times New Roman" w:cs="Times New Roman"/>
                <w:color w:val="000000"/>
                <w:kern w:val="2"/>
                <w:sz w:val="24"/>
                <w:szCs w:val="24"/>
                <w:lang w:eastAsia="zh-CN"/>
              </w:rPr>
              <w:t>、《</w:t>
            </w:r>
            <w:r>
              <w:rPr>
                <w:rFonts w:hint="eastAsia" w:ascii="Times New Roman" w:hAnsi="Times New Roman" w:cs="Times New Roman"/>
                <w:color w:val="000000"/>
                <w:kern w:val="2"/>
                <w:sz w:val="24"/>
                <w:szCs w:val="24"/>
                <w:lang w:val="en-US" w:eastAsia="zh-CN"/>
              </w:rPr>
              <w:t>无机非金属材料基础</w:t>
            </w:r>
            <w:r>
              <w:rPr>
                <w:rFonts w:hint="eastAsia" w:ascii="Times New Roman" w:hAnsi="Times New Roman" w:cs="Times New Roman"/>
                <w:color w:val="000000"/>
                <w:kern w:val="2"/>
                <w:sz w:val="24"/>
                <w:szCs w:val="24"/>
                <w:lang w:eastAsia="zh-CN"/>
              </w:rPr>
              <w:t>》</w:t>
            </w:r>
            <w:r>
              <w:rPr>
                <w:rFonts w:hint="default" w:ascii="Times New Roman" w:hAnsi="Times New Roman" w:eastAsia="宋体" w:cs="Times New Roman"/>
                <w:color w:val="000000"/>
                <w:kern w:val="2"/>
                <w:sz w:val="24"/>
                <w:szCs w:val="24"/>
              </w:rPr>
              <w:t>等。</w:t>
            </w:r>
            <w:r>
              <w:rPr>
                <w:rFonts w:hint="eastAsia" w:cs="Times New Roman"/>
                <w:color w:val="000000"/>
                <w:kern w:val="2"/>
                <w:sz w:val="24"/>
                <w:szCs w:val="24"/>
                <w:lang w:val="en-US" w:eastAsia="zh-CN"/>
              </w:rPr>
              <w:t>指导学</w:t>
            </w:r>
            <w:r>
              <w:rPr>
                <w:rFonts w:hint="eastAsia" w:ascii="Times New Roman" w:hAnsi="Times New Roman"/>
                <w:sz w:val="24"/>
                <w:lang w:val="en-US" w:eastAsia="zh-CN"/>
              </w:rPr>
              <w:t>生获贵州民族大学第八届“互联网+”大学生创新创业大赛银奖，第十届全国大学生光电设计竞赛西南区赛一等奖、三等奖。</w:t>
            </w:r>
            <w:bookmarkStart w:id="1" w:name="_GoBack"/>
            <w:bookmarkEnd w:id="1"/>
          </w:p>
          <w:p>
            <w:pPr>
              <w:pStyle w:val="3"/>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Times New Roman" w:hAnsi="Times New Roman"/>
                <w:sz w:val="24"/>
                <w:lang w:val="en-US" w:eastAsia="zh-CN"/>
              </w:rPr>
            </w:pPr>
            <w:r>
              <w:rPr>
                <w:rFonts w:hint="eastAsia" w:ascii="Times New Roman" w:hAnsi="Times New Roman"/>
                <w:sz w:val="24"/>
                <w:lang w:val="en-US" w:eastAsia="zh-CN"/>
              </w:rPr>
              <w:t>代表性论文：</w:t>
            </w:r>
          </w:p>
          <w:p>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ind w:left="425" w:leftChars="0" w:hanging="425" w:firstLineChars="0"/>
              <w:jc w:val="both"/>
              <w:textAlignment w:val="auto"/>
              <w:rPr>
                <w:rFonts w:hint="default" w:ascii="Times New Roman" w:hAnsi="Times New Roman" w:eastAsia="Segoe UI" w:cs="Times New Roman"/>
                <w:i w:val="0"/>
                <w:iCs w:val="0"/>
                <w:sz w:val="24"/>
                <w:szCs w:val="24"/>
              </w:rPr>
            </w:pPr>
            <w:r>
              <w:rPr>
                <w:rFonts w:hint="default" w:ascii="Times New Roman" w:hAnsi="Times New Roman" w:eastAsia="Segoe UI" w:cs="Times New Roman"/>
                <w:i w:val="0"/>
                <w:iCs w:val="0"/>
                <w:sz w:val="24"/>
                <w:szCs w:val="24"/>
              </w:rPr>
              <w:t>Zhang, J., et al., Vanadium dioxide coatings with enhanced optical and thermochromic performances</w:t>
            </w:r>
            <w:r>
              <w:rPr>
                <w:rFonts w:hint="eastAsia" w:cs="Times New Roman"/>
                <w:i w:val="0"/>
                <w:iCs w:val="0"/>
                <w:sz w:val="24"/>
                <w:szCs w:val="24"/>
                <w:lang w:val="en-US" w:eastAsia="zh-CN"/>
              </w:rPr>
              <w:t>.</w:t>
            </w:r>
            <w:r>
              <w:rPr>
                <w:rFonts w:hint="default" w:ascii="Times New Roman" w:hAnsi="Times New Roman" w:eastAsia="Segoe UI" w:cs="Times New Roman"/>
                <w:i w:val="0"/>
                <w:iCs w:val="0"/>
                <w:sz w:val="24"/>
                <w:szCs w:val="24"/>
              </w:rPr>
              <w:t xml:space="preserve"> Optical Materials, 2023. </w:t>
            </w:r>
            <w:r>
              <w:rPr>
                <w:rFonts w:hint="default" w:ascii="Times New Roman" w:hAnsi="Times New Roman" w:eastAsia="Segoe UI" w:cs="Times New Roman"/>
                <w:b w:val="0"/>
                <w:bCs/>
                <w:i w:val="0"/>
                <w:iCs w:val="0"/>
                <w:sz w:val="24"/>
                <w:szCs w:val="24"/>
              </w:rPr>
              <w:t>136</w:t>
            </w:r>
            <w:r>
              <w:rPr>
                <w:rFonts w:hint="eastAsia" w:cs="Times New Roman"/>
                <w:b w:val="0"/>
                <w:bCs/>
                <w:i w:val="0"/>
                <w:iCs w:val="0"/>
                <w:sz w:val="24"/>
                <w:szCs w:val="24"/>
                <w:lang w:val="en-US" w:eastAsia="zh-CN"/>
              </w:rPr>
              <w:t>,</w:t>
            </w:r>
            <w:r>
              <w:rPr>
                <w:rFonts w:hint="eastAsia" w:cs="Times New Roman"/>
                <w:i w:val="0"/>
                <w:iCs w:val="0"/>
                <w:sz w:val="24"/>
                <w:szCs w:val="24"/>
                <w:lang w:val="en-US" w:eastAsia="zh-CN"/>
              </w:rPr>
              <w:t xml:space="preserve"> </w:t>
            </w:r>
            <w:r>
              <w:rPr>
                <w:rFonts w:hint="default" w:ascii="Times New Roman" w:hAnsi="Times New Roman" w:eastAsia="Segoe UI" w:cs="Times New Roman"/>
                <w:i w:val="0"/>
                <w:iCs w:val="0"/>
                <w:sz w:val="24"/>
                <w:szCs w:val="24"/>
              </w:rPr>
              <w:t>113498.</w:t>
            </w:r>
          </w:p>
          <w:p>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425" w:leftChars="0" w:hanging="425" w:firstLineChars="0"/>
              <w:jc w:val="both"/>
              <w:textAlignment w:val="auto"/>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Luo G. C., Zhang J.* et al., </w:t>
            </w:r>
            <w:r>
              <w:rPr>
                <w:rFonts w:hint="default" w:ascii="Times New Roman" w:hAnsi="Times New Roman" w:eastAsia="Segoe UI" w:cs="Times New Roman"/>
                <w:i w:val="0"/>
                <w:iCs w:val="0"/>
                <w:sz w:val="24"/>
                <w:szCs w:val="24"/>
              </w:rPr>
              <w:t>Quasi-ohmic contact formation assisted by the back contact with Cu2Te nanoparticles@reduced graphene oxide composites for highly efficient CdTe solar cells</w:t>
            </w:r>
            <w:r>
              <w:rPr>
                <w:rFonts w:hint="eastAsia" w:ascii="Times New Roman" w:hAnsi="Times New Roman" w:cs="Times New Roman"/>
                <w:i w:val="0"/>
                <w:iCs w:val="0"/>
                <w:sz w:val="24"/>
                <w:szCs w:val="24"/>
                <w:lang w:val="en-US" w:eastAsia="zh-CN"/>
              </w:rPr>
              <w:t>.</w:t>
            </w:r>
            <w:r>
              <w:rPr>
                <w:rFonts w:hint="default" w:ascii="Times New Roman" w:hAnsi="Times New Roman" w:cs="Times New Roman"/>
                <w:i w:val="0"/>
                <w:iCs w:val="0"/>
                <w:sz w:val="24"/>
                <w:szCs w:val="24"/>
                <w:lang w:val="en-US" w:eastAsia="zh-CN"/>
              </w:rPr>
              <w:t xml:space="preserve"> Journal of Alloys and Compounds, 2022, 921, 166100.</w:t>
            </w:r>
          </w:p>
          <w:p>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425" w:leftChars="0" w:hanging="425" w:firstLineChars="0"/>
              <w:jc w:val="both"/>
              <w:textAlignment w:val="auto"/>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Zhang J. et al., </w:t>
            </w:r>
            <w:r>
              <w:rPr>
                <w:rFonts w:hint="eastAsia" w:ascii="Times New Roman" w:hAnsi="Times New Roman" w:cs="Times New Roman"/>
                <w:i w:val="0"/>
                <w:iCs w:val="0"/>
                <w:sz w:val="24"/>
                <w:szCs w:val="24"/>
                <w:lang w:val="en-US" w:eastAsia="zh-CN"/>
              </w:rPr>
              <w:t>T</w:t>
            </w:r>
            <w:r>
              <w:rPr>
                <w:rFonts w:hint="default" w:ascii="Times New Roman" w:hAnsi="Times New Roman" w:eastAsia="Segoe UI" w:cs="Times New Roman"/>
                <w:i w:val="0"/>
                <w:iCs w:val="0"/>
                <w:sz w:val="24"/>
                <w:szCs w:val="24"/>
              </w:rPr>
              <w:t>hermochromic VO2-SiO2 composite coating from ammonium citrato-oxovanadate(IV)</w:t>
            </w:r>
            <w:r>
              <w:rPr>
                <w:rFonts w:hint="eastAsia" w:ascii="Times New Roman" w:hAnsi="Times New Roman" w:cs="Times New Roman"/>
                <w:i w:val="0"/>
                <w:iCs w:val="0"/>
                <w:sz w:val="24"/>
                <w:szCs w:val="24"/>
                <w:lang w:val="en-US" w:eastAsia="zh-CN"/>
              </w:rPr>
              <w:t>.</w:t>
            </w:r>
            <w:r>
              <w:rPr>
                <w:rFonts w:hint="default" w:ascii="Times New Roman" w:hAnsi="Times New Roman" w:cs="Times New Roman"/>
                <w:i w:val="0"/>
                <w:iCs w:val="0"/>
                <w:sz w:val="24"/>
                <w:szCs w:val="24"/>
                <w:lang w:val="en-US" w:eastAsia="zh-CN"/>
              </w:rPr>
              <w:t xml:space="preserve"> Nanotechnology, 2021, 32, 225402.</w:t>
            </w:r>
          </w:p>
          <w:p>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425" w:leftChars="0" w:hanging="425" w:firstLineChars="0"/>
              <w:jc w:val="both"/>
              <w:textAlignment w:val="auto"/>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Zhang J. et al., </w:t>
            </w:r>
            <w:r>
              <w:rPr>
                <w:rFonts w:hint="default" w:ascii="Times New Roman" w:hAnsi="Times New Roman" w:eastAsia="Segoe UI" w:cs="Times New Roman"/>
                <w:i w:val="0"/>
                <w:iCs w:val="0"/>
                <w:sz w:val="24"/>
                <w:szCs w:val="24"/>
              </w:rPr>
              <w:t>Mesoporous SiO2 /VO2 double-layer thermochromic coating with improved visible transmittance for smart window</w:t>
            </w:r>
            <w:r>
              <w:rPr>
                <w:rFonts w:hint="eastAsia" w:ascii="Times New Roman" w:hAnsi="Times New Roman" w:cs="Times New Roman"/>
                <w:i w:val="0"/>
                <w:iCs w:val="0"/>
                <w:sz w:val="24"/>
                <w:szCs w:val="24"/>
                <w:lang w:val="en-US" w:eastAsia="zh-CN"/>
              </w:rPr>
              <w:t>.</w:t>
            </w:r>
            <w:r>
              <w:rPr>
                <w:rFonts w:hint="default" w:ascii="Times New Roman" w:hAnsi="Times New Roman" w:cs="Times New Roman"/>
                <w:i w:val="0"/>
                <w:iCs w:val="0"/>
                <w:sz w:val="24"/>
                <w:szCs w:val="24"/>
                <w:lang w:val="en-US" w:eastAsia="zh-CN"/>
              </w:rPr>
              <w:t xml:space="preserve"> Solar Energy Materials and Solar Cells, 2017, 162, 134.</w:t>
            </w:r>
          </w:p>
          <w:p>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425" w:leftChars="0" w:hanging="425" w:firstLineChars="0"/>
              <w:jc w:val="both"/>
              <w:textAlignment w:val="auto"/>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Zhang J. et al., </w:t>
            </w:r>
            <w:r>
              <w:rPr>
                <w:rFonts w:hint="eastAsia" w:ascii="Times New Roman" w:hAnsi="Times New Roman" w:cs="Times New Roman"/>
                <w:i w:val="0"/>
                <w:iCs w:val="0"/>
                <w:sz w:val="24"/>
                <w:szCs w:val="24"/>
                <w:lang w:val="en-US" w:eastAsia="zh-CN"/>
              </w:rPr>
              <w:t>T</w:t>
            </w:r>
            <w:r>
              <w:rPr>
                <w:rFonts w:hint="default" w:ascii="Times New Roman" w:hAnsi="Times New Roman" w:eastAsia="Segoe UI" w:cs="Times New Roman"/>
                <w:i w:val="0"/>
                <w:iCs w:val="0"/>
                <w:sz w:val="24"/>
                <w:szCs w:val="24"/>
              </w:rPr>
              <w:t>hermochromic VO2 films from ammonium citrato-oxovanadate(IV) with excellent optical and phase transition properties</w:t>
            </w:r>
            <w:r>
              <w:rPr>
                <w:rFonts w:hint="eastAsia" w:ascii="Times New Roman" w:hAnsi="Times New Roman" w:cs="Times New Roman"/>
                <w:i w:val="0"/>
                <w:iCs w:val="0"/>
                <w:sz w:val="24"/>
                <w:szCs w:val="24"/>
                <w:lang w:val="en-US" w:eastAsia="zh-CN"/>
              </w:rPr>
              <w:t>.</w:t>
            </w:r>
            <w:r>
              <w:rPr>
                <w:rFonts w:hint="default" w:ascii="Times New Roman" w:hAnsi="Times New Roman" w:cs="Times New Roman"/>
                <w:i w:val="0"/>
                <w:iCs w:val="0"/>
                <w:sz w:val="24"/>
                <w:szCs w:val="24"/>
                <w:lang w:val="en-US" w:eastAsia="zh-CN"/>
              </w:rPr>
              <w:t xml:space="preserve"> Journal of Materials Chemistry C, 2016, 4, 5281.</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lang w:val="en-US" w:eastAsia="zh-CN"/>
              </w:rPr>
              <w:t>承担</w:t>
            </w:r>
            <w:r>
              <w:rPr>
                <w:rFonts w:hint="eastAsia" w:ascii="宋体" w:hAnsi="宋体" w:cs="宋体"/>
                <w:sz w:val="24"/>
              </w:rPr>
              <w:t>科研项目：</w:t>
            </w:r>
          </w:p>
          <w:p>
            <w:pPr>
              <w:pStyle w:val="7"/>
              <w:keepNext w:val="0"/>
              <w:keepLines w:val="0"/>
              <w:pageBreakBefore w:val="0"/>
              <w:numPr>
                <w:ilvl w:val="0"/>
                <w:numId w:val="2"/>
              </w:numPr>
              <w:kinsoku/>
              <w:wordWrap/>
              <w:overflowPunct/>
              <w:topLinePunct w:val="0"/>
              <w:autoSpaceDE/>
              <w:autoSpaceDN/>
              <w:bidi w:val="0"/>
              <w:adjustRightInd/>
              <w:snapToGrid/>
              <w:spacing w:line="400" w:lineRule="exact"/>
              <w:ind w:firstLineChars="0"/>
              <w:textAlignment w:val="auto"/>
              <w:rPr>
                <w:rFonts w:hint="default" w:ascii="Times New Roman" w:hAnsi="Times New Roman" w:eastAsia="宋体" w:cs="Times New Roman"/>
                <w:sz w:val="24"/>
                <w:szCs w:val="24"/>
                <w:lang w:val="en-US" w:eastAsia="zh-CN"/>
              </w:rPr>
            </w:pPr>
            <w:bookmarkStart w:id="0" w:name="OLE_LINK1"/>
            <w:r>
              <w:rPr>
                <w:rFonts w:hint="default" w:ascii="Times New Roman" w:hAnsi="Times New Roman" w:eastAsia="宋体" w:cs="Times New Roman"/>
                <w:sz w:val="24"/>
              </w:rPr>
              <w:t>张晶，国家自然科学基金青年科学基金项目，21905064，2020/01-2022/12，22万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已结题</w:t>
            </w:r>
            <w:r>
              <w:rPr>
                <w:rFonts w:hint="eastAsia" w:ascii="Times New Roman" w:hAnsi="Times New Roman" w:cs="Times New Roman"/>
                <w:sz w:val="24"/>
                <w:lang w:eastAsia="zh-CN"/>
              </w:rPr>
              <w:t>）</w:t>
            </w:r>
            <w:r>
              <w:rPr>
                <w:rFonts w:hint="default" w:ascii="Times New Roman" w:hAnsi="Times New Roman" w:eastAsia="宋体" w:cs="Times New Roman"/>
                <w:sz w:val="24"/>
              </w:rPr>
              <w:t>。</w:t>
            </w:r>
          </w:p>
          <w:p>
            <w:pPr>
              <w:pStyle w:val="7"/>
              <w:keepNext w:val="0"/>
              <w:keepLines w:val="0"/>
              <w:pageBreakBefore w:val="0"/>
              <w:numPr>
                <w:ilvl w:val="0"/>
                <w:numId w:val="2"/>
              </w:numPr>
              <w:kinsoku/>
              <w:wordWrap/>
              <w:overflowPunct/>
              <w:topLinePunct w:val="0"/>
              <w:autoSpaceDE/>
              <w:autoSpaceDN/>
              <w:bidi w:val="0"/>
              <w:adjustRightInd/>
              <w:snapToGrid/>
              <w:spacing w:line="400" w:lineRule="exact"/>
              <w:ind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lang w:val="en-US" w:eastAsia="zh-CN"/>
              </w:rPr>
              <w:t>张晶等，</w:t>
            </w:r>
            <w:r>
              <w:rPr>
                <w:rFonts w:hint="default" w:ascii="Times New Roman" w:hAnsi="Times New Roman" w:eastAsia="宋体" w:cs="Times New Roman"/>
                <w:sz w:val="24"/>
                <w:szCs w:val="24"/>
                <w:lang w:val="en-US" w:eastAsia="zh-CN"/>
              </w:rPr>
              <w:t>贵州省科技</w:t>
            </w:r>
            <w:r>
              <w:rPr>
                <w:rFonts w:hint="default" w:ascii="Times New Roman" w:hAnsi="Times New Roman" w:eastAsia="宋体" w:cs="Times New Roman"/>
                <w:b w:val="0"/>
                <w:bCs w:val="0"/>
                <w:sz w:val="24"/>
                <w:szCs w:val="24"/>
                <w:lang w:val="en-US" w:eastAsia="zh-CN"/>
              </w:rPr>
              <w:t>厅</w:t>
            </w:r>
            <w:r>
              <w:rPr>
                <w:rFonts w:hint="eastAsia" w:ascii="Times New Roman" w:hAnsi="Times New Roman" w:cs="Times New Roman"/>
                <w:b w:val="0"/>
                <w:bCs w:val="0"/>
                <w:sz w:val="24"/>
                <w:szCs w:val="24"/>
                <w:lang w:val="en-US" w:eastAsia="zh-CN"/>
              </w:rPr>
              <w:t>自然科学基金</w:t>
            </w:r>
            <w:r>
              <w:rPr>
                <w:rFonts w:hint="default" w:ascii="Times New Roman" w:hAnsi="Times New Roman" w:eastAsia="宋体" w:cs="Times New Roman"/>
                <w:b w:val="0"/>
                <w:bCs w:val="0"/>
                <w:sz w:val="24"/>
                <w:szCs w:val="24"/>
                <w:lang w:val="en-US" w:eastAsia="zh-CN"/>
              </w:rPr>
              <w:t>项目，</w:t>
            </w:r>
            <w:r>
              <w:rPr>
                <w:rFonts w:hint="default" w:ascii="Times New Roman" w:hAnsi="Times New Roman" w:eastAsia="宋体" w:cs="Times New Roman"/>
                <w:b w:val="0"/>
                <w:bCs w:val="0"/>
                <w:sz w:val="24"/>
                <w:szCs w:val="24"/>
              </w:rPr>
              <w:t>黔科合基础-ZK[2022]一般214</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2022/04-2025/3，10万</w:t>
            </w:r>
            <w:r>
              <w:rPr>
                <w:rFonts w:hint="default" w:ascii="Times New Roman" w:hAnsi="Times New Roman" w:eastAsia="宋体" w:cs="Times New Roman"/>
                <w:sz w:val="24"/>
                <w:szCs w:val="24"/>
                <w:lang w:val="en-US" w:eastAsia="zh-CN"/>
              </w:rPr>
              <w:t>。</w:t>
            </w:r>
            <w:bookmarkEnd w:id="0"/>
          </w:p>
          <w:p>
            <w:pPr>
              <w:pStyle w:val="7"/>
              <w:keepNext w:val="0"/>
              <w:keepLines w:val="0"/>
              <w:pageBreakBefore w:val="0"/>
              <w:numPr>
                <w:ilvl w:val="0"/>
                <w:numId w:val="2"/>
              </w:numPr>
              <w:kinsoku/>
              <w:wordWrap/>
              <w:overflowPunct/>
              <w:topLinePunct w:val="0"/>
              <w:autoSpaceDE/>
              <w:autoSpaceDN/>
              <w:bidi w:val="0"/>
              <w:adjustRightInd/>
              <w:snapToGrid/>
              <w:spacing w:line="400" w:lineRule="exact"/>
              <w:ind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张晶，贵州民族大学2018年度一般科研项目，经费：6万</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已结题</w:t>
            </w:r>
            <w:r>
              <w:rPr>
                <w:rFonts w:hint="eastAsia" w:ascii="Times New Roman" w:hAnsi="Times New Roman" w:cs="Times New Roman"/>
                <w:sz w:val="24"/>
                <w:lang w:eastAsia="zh-CN"/>
              </w:rPr>
              <w:t>）</w:t>
            </w:r>
            <w:r>
              <w:rPr>
                <w:rFonts w:hint="default" w:ascii="Times New Roman" w:hAnsi="Times New Roman" w:eastAsia="宋体" w:cs="Times New Roman"/>
                <w:sz w:val="24"/>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default" w:cs="Times New Roman"/>
                <w:color w:val="000000"/>
                <w:kern w:val="2"/>
                <w:sz w:val="24"/>
                <w:szCs w:val="24"/>
                <w:lang w:val="en-US" w:eastAsia="zh-CN"/>
              </w:rPr>
            </w:pPr>
          </w:p>
        </w:tc>
      </w:tr>
    </w:tbl>
    <w:p>
      <w:pPr>
        <w:rPr>
          <w:rFonts w:hint="eastAsia"/>
        </w:rPr>
      </w:pPr>
    </w:p>
    <w:sectPr>
      <w:headerReference r:id="rId3" w:type="default"/>
      <w:pgSz w:w="11906" w:h="16838"/>
      <w:pgMar w:top="1701" w:right="1304" w:bottom="170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240AB"/>
    <w:multiLevelType w:val="singleLevel"/>
    <w:tmpl w:val="ADF240AB"/>
    <w:lvl w:ilvl="0" w:tentative="0">
      <w:start w:val="1"/>
      <w:numFmt w:val="decimal"/>
      <w:lvlText w:val="%1."/>
      <w:lvlJc w:val="left"/>
      <w:pPr>
        <w:ind w:left="425" w:hanging="425"/>
      </w:pPr>
      <w:rPr>
        <w:rFonts w:hint="default"/>
      </w:rPr>
    </w:lvl>
  </w:abstractNum>
  <w:abstractNum w:abstractNumId="1">
    <w:nsid w:val="2B21531B"/>
    <w:multiLevelType w:val="multilevel"/>
    <w:tmpl w:val="2B21531B"/>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ZGQ2NzgyMzZlNDMxMmRjMTA1MGRjNjIyNGQ1ZTcifQ=="/>
  </w:docVars>
  <w:rsids>
    <w:rsidRoot w:val="00172A27"/>
    <w:rsid w:val="0000337D"/>
    <w:rsid w:val="000679C7"/>
    <w:rsid w:val="000F4138"/>
    <w:rsid w:val="00137F36"/>
    <w:rsid w:val="001E46E1"/>
    <w:rsid w:val="002140D6"/>
    <w:rsid w:val="002C3603"/>
    <w:rsid w:val="00336192"/>
    <w:rsid w:val="003468FB"/>
    <w:rsid w:val="00414614"/>
    <w:rsid w:val="00537AD7"/>
    <w:rsid w:val="00577435"/>
    <w:rsid w:val="00760194"/>
    <w:rsid w:val="00913C28"/>
    <w:rsid w:val="009219CA"/>
    <w:rsid w:val="009D575A"/>
    <w:rsid w:val="00CB38F7"/>
    <w:rsid w:val="00CF09FD"/>
    <w:rsid w:val="00E5374B"/>
    <w:rsid w:val="00EC02EA"/>
    <w:rsid w:val="00FD6148"/>
    <w:rsid w:val="0E34548E"/>
    <w:rsid w:val="0F3A688C"/>
    <w:rsid w:val="111670BE"/>
    <w:rsid w:val="141A488D"/>
    <w:rsid w:val="1A336D55"/>
    <w:rsid w:val="2171215F"/>
    <w:rsid w:val="22CB048B"/>
    <w:rsid w:val="24D74642"/>
    <w:rsid w:val="270019D6"/>
    <w:rsid w:val="31FE6CF2"/>
    <w:rsid w:val="39435DB6"/>
    <w:rsid w:val="3A0B458E"/>
    <w:rsid w:val="3DEC1E87"/>
    <w:rsid w:val="465E44B1"/>
    <w:rsid w:val="567C0C98"/>
    <w:rsid w:val="5CAF449D"/>
    <w:rsid w:val="617E795A"/>
    <w:rsid w:val="65574A08"/>
    <w:rsid w:val="688E5DB8"/>
    <w:rsid w:val="72BB1F0C"/>
    <w:rsid w:val="7BB4535B"/>
    <w:rsid w:val="7BFE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19"/>
      <w:szCs w:val="19"/>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642</Words>
  <Characters>1396</Characters>
  <Lines>4</Lines>
  <Paragraphs>1</Paragraphs>
  <TotalTime>1</TotalTime>
  <ScaleCrop>false</ScaleCrop>
  <LinksUpToDate>false</LinksUpToDate>
  <CharactersWithSpaces>1528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2018-10-09T05:04:00Z</dcterms:created>
  <dc:creator>~独猪喜桃~</dc:creator>
  <cp:lastModifiedBy>HP</cp:lastModifiedBy>
  <dcterms:modified xsi:type="dcterms:W3CDTF">2023-02-28T07:02:23Z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ICV">
    <vt:lpwstr>81E0B761A5164E6BA6E04E1182D6C1C4</vt:lpwstr>
  </property>
</Properties>
</file>